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38795" w14:textId="77777777" w:rsidR="00D63DA7" w:rsidRPr="006B1C3B" w:rsidRDefault="003F4C3C" w:rsidP="00D63DA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/>
          <w:bCs/>
        </w:rPr>
        <w:tab/>
      </w:r>
      <w:bookmarkStart w:id="0" w:name="_Hlk201668317"/>
      <w:bookmarkStart w:id="1" w:name="_Hlk201668348"/>
      <w:r w:rsidR="00D63DA7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26655E22" w14:textId="77777777" w:rsidR="00D63DA7" w:rsidRPr="006B1C3B" w:rsidRDefault="00D63DA7" w:rsidP="00D63D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19D913B3" w14:textId="77777777" w:rsidR="00D63DA7" w:rsidRPr="006B1C3B" w:rsidRDefault="00D63DA7" w:rsidP="00D63D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37D5693C" w14:textId="77777777" w:rsidR="00D63DA7" w:rsidRPr="006B1C3B" w:rsidRDefault="00D63DA7" w:rsidP="00D63DA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1132E6E9" w14:textId="77777777" w:rsidR="00D63DA7" w:rsidRPr="006B1C3B" w:rsidRDefault="00D63DA7" w:rsidP="00D63DA7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  <w:bookmarkEnd w:id="0"/>
    </w:p>
    <w:bookmarkEnd w:id="1"/>
    <w:p w14:paraId="56E97D25" w14:textId="68D13064" w:rsidR="00001626" w:rsidRDefault="00001626" w:rsidP="00D63DA7">
      <w:pPr>
        <w:spacing w:line="240" w:lineRule="auto"/>
        <w:jc w:val="right"/>
        <w:rPr>
          <w:rFonts w:ascii="Corbel" w:hAnsi="Corbel" w:cs="Corbel"/>
          <w:sz w:val="24"/>
          <w:szCs w:val="24"/>
        </w:rPr>
      </w:pPr>
    </w:p>
    <w:p w14:paraId="5672D52C" w14:textId="77777777" w:rsidR="00001626" w:rsidRDefault="003F4C3C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790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2693"/>
        <w:gridCol w:w="7097"/>
      </w:tblGrid>
      <w:tr w:rsidR="00001626" w14:paraId="4C5855A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8E5EF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9B958" w14:textId="77777777" w:rsidR="00001626" w:rsidRDefault="003F4C3C">
            <w:pPr>
              <w:pStyle w:val="Odpowiedzi"/>
              <w:widowControl w:val="0"/>
              <w:snapToGrid w:val="0"/>
              <w:spacing w:before="0" w:after="0"/>
              <w:rPr>
                <w:rFonts w:ascii="Corbel" w:eastAsia="Aria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Arial" w:hAnsi="Corbel" w:cs="Corbel"/>
                <w:b w:val="0"/>
                <w:sz w:val="24"/>
                <w:szCs w:val="24"/>
              </w:rPr>
              <w:t>Przestrzeń, ruch, dźwięk; komunikacja niewerbalna</w:t>
            </w:r>
          </w:p>
        </w:tc>
      </w:tr>
      <w:tr w:rsidR="00001626" w14:paraId="2B80BBA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B156D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1D90E" w14:textId="77777777" w:rsidR="00001626" w:rsidRDefault="00001626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001626" w14:paraId="1355E9F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B35FC" w14:textId="77777777" w:rsidR="00001626" w:rsidRDefault="003F4C3C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A8E3" w14:textId="7B7D08B0" w:rsidR="00001626" w:rsidRPr="00D63DA7" w:rsidRDefault="00D63DA7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D63DA7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001626" w14:paraId="6EAD050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DE9AB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3AC2" w14:textId="77777777" w:rsidR="00001626" w:rsidRDefault="005C0A53" w:rsidP="005C0A53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Instytut Filozofii </w:t>
            </w:r>
          </w:p>
        </w:tc>
      </w:tr>
      <w:tr w:rsidR="00001626" w14:paraId="37D4AD82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7EF74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A41A2" w14:textId="77777777" w:rsidR="00001626" w:rsidRDefault="003F4C3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Komunikacja </w:t>
            </w:r>
            <w:r w:rsidR="005C0A53">
              <w:rPr>
                <w:rFonts w:ascii="Corbel" w:hAnsi="Corbel" w:cs="Corbel"/>
                <w:b w:val="0"/>
                <w:sz w:val="24"/>
                <w:szCs w:val="24"/>
              </w:rPr>
              <w:t>międzykulturowa</w:t>
            </w:r>
          </w:p>
        </w:tc>
      </w:tr>
      <w:tr w:rsidR="00001626" w14:paraId="7E068C5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11CE7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ED177" w14:textId="77777777" w:rsidR="00001626" w:rsidRDefault="005C0A53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001626" w14:paraId="3C788D5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28B5E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83F7" w14:textId="77777777" w:rsidR="00001626" w:rsidRDefault="003F4C3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specjalizacyjny</w:t>
            </w:r>
          </w:p>
        </w:tc>
      </w:tr>
      <w:tr w:rsidR="00001626" w14:paraId="2C28198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44C0D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6870F" w14:textId="77777777" w:rsidR="00001626" w:rsidRDefault="003F4C3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001626" w14:paraId="1560A3D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70F2E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E1CB9" w14:textId="77777777" w:rsidR="00001626" w:rsidRDefault="003F4C3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</w:t>
            </w:r>
            <w:r w:rsidR="005C0A53">
              <w:rPr>
                <w:rFonts w:ascii="Corbel" w:hAnsi="Corbel" w:cs="Corbel"/>
                <w:b w:val="0"/>
                <w:sz w:val="24"/>
                <w:szCs w:val="24"/>
              </w:rPr>
              <w:t>II, semestr V</w:t>
            </w:r>
          </w:p>
        </w:tc>
      </w:tr>
      <w:tr w:rsidR="00001626" w14:paraId="30009D3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A8FFA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242FB" w14:textId="77777777" w:rsidR="00001626" w:rsidRDefault="003F4C3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obligatoryjny</w:t>
            </w:r>
          </w:p>
        </w:tc>
      </w:tr>
      <w:tr w:rsidR="00001626" w14:paraId="1695623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CB8A0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3A3F2" w14:textId="77777777" w:rsidR="00001626" w:rsidRDefault="003F4C3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 (ENG)</w:t>
            </w:r>
          </w:p>
        </w:tc>
      </w:tr>
      <w:tr w:rsidR="00001626" w14:paraId="185079E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6AA94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AE999" w14:textId="77777777" w:rsidR="00001626" w:rsidRDefault="003F4C3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  <w:tr w:rsidR="00001626" w14:paraId="63201E3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1A5A0" w14:textId="77777777" w:rsidR="00001626" w:rsidRDefault="003F4C3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Imię i nazwisko osoby prowadzącej / osób </w:t>
            </w:r>
            <w:r>
              <w:rPr>
                <w:rFonts w:ascii="Corbel" w:hAnsi="Corbel" w:cs="Corbel"/>
                <w:sz w:val="24"/>
                <w:szCs w:val="24"/>
              </w:rPr>
              <w:lastRenderedPageBreak/>
              <w:t>prowadzących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BDDFD" w14:textId="77777777" w:rsidR="00001626" w:rsidRDefault="003F4C3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lastRenderedPageBreak/>
              <w:t>Dr Adam Kubiak</w:t>
            </w:r>
          </w:p>
        </w:tc>
      </w:tr>
    </w:tbl>
    <w:p w14:paraId="6233B54A" w14:textId="77777777" w:rsidR="00001626" w:rsidRDefault="003F4C3C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74BEB025" w14:textId="77777777" w:rsidR="00001626" w:rsidRDefault="0000162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2787A98" w14:textId="77777777" w:rsidR="00001626" w:rsidRDefault="003F4C3C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303FC7F" w14:textId="77777777" w:rsidR="00001626" w:rsidRDefault="0000162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1"/>
        <w:gridCol w:w="801"/>
        <w:gridCol w:w="822"/>
        <w:gridCol w:w="762"/>
        <w:gridCol w:w="949"/>
        <w:gridCol w:w="1189"/>
        <w:gridCol w:w="1513"/>
      </w:tblGrid>
      <w:tr w:rsidR="00001626" w14:paraId="2EE87F6B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A87D3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783994DF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12C84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5A762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335DD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64244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90284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27DA9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B920A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E54B6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4A41C" w14:textId="77777777" w:rsidR="00001626" w:rsidRDefault="003F4C3C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001626" w14:paraId="61E82696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CFD05" w14:textId="77777777" w:rsidR="00001626" w:rsidRDefault="005C0A5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377CA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6B74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230B6" w14:textId="77777777" w:rsidR="00001626" w:rsidRDefault="003F4C3C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37B5A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FFF3E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FB54D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2B4BA0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10E52" w14:textId="77777777" w:rsidR="00001626" w:rsidRDefault="003F4C3C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Praca w terenie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F276B" w14:textId="77777777" w:rsidR="00001626" w:rsidRDefault="003F4C3C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001626" w14:paraId="01489EDF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D25EE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4E258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C1D5E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F58FF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5EACD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DB534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D79F6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CA5AF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D2A2D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E714" w14:textId="77777777" w:rsidR="00001626" w:rsidRDefault="00001626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5A0371C2" w14:textId="77777777" w:rsidR="00001626" w:rsidRDefault="00001626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512FF869" w14:textId="77777777" w:rsidR="00001626" w:rsidRDefault="00001626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3859B22E" w14:textId="77777777" w:rsidR="00001626" w:rsidRDefault="003F4C3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641566F9" w14:textId="77777777" w:rsidR="00001626" w:rsidRDefault="003F4C3C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 w:rsidRPr="00940F7C">
        <w:rPr>
          <w:rFonts w:ascii="Corbel" w:hAnsi="Corbel" w:cs="Corbel"/>
          <w:b w:val="0"/>
          <w:bCs/>
          <w:smallCaps w:val="0"/>
          <w:szCs w:val="24"/>
        </w:rPr>
        <w:t>zajęcia w formie tradycyjnej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241C5D9D" w14:textId="77777777" w:rsidR="00001626" w:rsidRDefault="003F4C3C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 w:rsidRPr="00940F7C">
        <w:rPr>
          <w:rFonts w:ascii="Corbel" w:hAnsi="Corbel" w:cs="Corbel"/>
          <w:smallCaps w:val="0"/>
          <w:szCs w:val="24"/>
          <w:u w:val="single"/>
        </w:rPr>
        <w:t>zajęcia realizowane z wykorzystaniem metod i technik kształcenia na odległość</w:t>
      </w:r>
    </w:p>
    <w:p w14:paraId="6F400CE0" w14:textId="77777777" w:rsidR="00001626" w:rsidRDefault="0000162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73ADA1A" w14:textId="77777777" w:rsidR="00001626" w:rsidRDefault="003F4C3C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 xml:space="preserve">(egzamin, </w:t>
      </w:r>
      <w:r>
        <w:rPr>
          <w:rFonts w:ascii="Corbel" w:hAnsi="Corbel" w:cs="Corbel"/>
          <w:bCs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w14:paraId="77CDBA22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A6AAE60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9B074D0" w14:textId="77777777" w:rsidR="00001626" w:rsidRDefault="003F4C3C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001626" w14:paraId="2935C337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E2488" w14:textId="77777777" w:rsidR="00001626" w:rsidRDefault="003F4C3C">
            <w:pPr>
              <w:widowControl w:val="0"/>
              <w:snapToGrid w:val="0"/>
              <w:spacing w:before="40" w:after="40"/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4"/>
              </w:rPr>
              <w:t>podstawowa wiedza z zakresu historii kultury</w:t>
            </w:r>
          </w:p>
          <w:p w14:paraId="3F4C4E7F" w14:textId="77777777" w:rsidR="00001626" w:rsidRDefault="00001626">
            <w:pPr>
              <w:widowControl w:val="0"/>
              <w:snapToGrid w:val="0"/>
              <w:spacing w:before="40" w:after="40"/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</w:p>
          <w:p w14:paraId="6D6C36D9" w14:textId="77777777" w:rsidR="00001626" w:rsidRDefault="003F4C3C">
            <w:pPr>
              <w:widowControl w:val="0"/>
              <w:snapToGrid w:val="0"/>
            </w:pPr>
            <w:r>
              <w:t>Podstawowa wiedza ogólna z zakresu nauk o kulturze;</w:t>
            </w:r>
          </w:p>
          <w:p w14:paraId="6B81256E" w14:textId="77777777" w:rsidR="00001626" w:rsidRDefault="003F4C3C">
            <w:pPr>
              <w:widowControl w:val="0"/>
              <w:snapToGrid w:val="0"/>
              <w:spacing w:before="40" w:after="40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hAnsi="Corbel" w:cs="Corbel"/>
                <w:color w:val="000000"/>
                <w:szCs w:val="24"/>
              </w:rPr>
              <w:t>brak przeciwskazań, bądź okoliczności uniemożliwiających pracę terenową</w:t>
            </w:r>
          </w:p>
          <w:p w14:paraId="5485DDE0" w14:textId="77777777" w:rsidR="00001626" w:rsidRDefault="00001626">
            <w:pPr>
              <w:widowControl w:val="0"/>
              <w:snapToGrid w:val="0"/>
              <w:spacing w:before="40" w:after="40"/>
              <w:rPr>
                <w:rFonts w:ascii="Corbel" w:hAnsi="Corbel" w:cs="Corbel"/>
                <w:color w:val="000000"/>
                <w:szCs w:val="24"/>
              </w:rPr>
            </w:pPr>
          </w:p>
          <w:p w14:paraId="2E9DD063" w14:textId="77777777" w:rsidR="00001626" w:rsidRDefault="003F4C3C">
            <w:pPr>
              <w:widowControl w:val="0"/>
              <w:snapToGrid w:val="0"/>
              <w:spacing w:before="40" w:after="40"/>
              <w:rPr>
                <w:rFonts w:ascii="Arial CE" w:eastAsia="Arial CE" w:hAnsi="Arial CE" w:cs="Arial CE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b/>
                <w:bCs/>
                <w:color w:val="000000"/>
                <w:sz w:val="24"/>
                <w:szCs w:val="24"/>
              </w:rPr>
              <w:t>UWAGA: Ze względu na możliwe problemy prawne (zajęcia terenowe, obserwacja w terenie, samodzielna i grupowa) uczestnicy zajęć jak i prowadzący muszą otrzymać czytelne identyfikatory/zaświadczenia wystawione przez macierzystą jednostkę oraz zaświadczenie o realizacji programu przedmiotu, do okazania w razie potrzeby.</w:t>
            </w:r>
          </w:p>
          <w:p w14:paraId="77504306" w14:textId="77777777" w:rsidR="00001626" w:rsidRDefault="00001626">
            <w:pPr>
              <w:pStyle w:val="Punktygwne"/>
              <w:widowControl w:val="0"/>
              <w:snapToGrid w:val="0"/>
              <w:spacing w:before="40" w:after="40"/>
              <w:rPr>
                <w:rFonts w:ascii="Corbel" w:eastAsia="Arial CE" w:hAnsi="Corbel" w:cs="Corbel"/>
                <w:b w:val="0"/>
                <w:bCs/>
                <w:smallCaps w:val="0"/>
                <w:color w:val="000000"/>
                <w:szCs w:val="24"/>
              </w:rPr>
            </w:pPr>
          </w:p>
          <w:p w14:paraId="5D282DF2" w14:textId="77777777" w:rsidR="00001626" w:rsidRDefault="00001626">
            <w:pPr>
              <w:widowControl w:val="0"/>
              <w:snapToGrid w:val="0"/>
              <w:spacing w:before="40" w:after="40"/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</w:p>
          <w:p w14:paraId="697784FD" w14:textId="77777777" w:rsidR="00001626" w:rsidRDefault="003F4C3C">
            <w:pPr>
              <w:widowControl w:val="0"/>
              <w:snapToGrid w:val="0"/>
              <w:spacing w:before="40" w:after="40"/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4"/>
              </w:rPr>
              <w:t>zalecana: znajomośc języka angielskiego na poziomie B1-2 (reading, listening, understanding)</w:t>
            </w:r>
          </w:p>
        </w:tc>
      </w:tr>
    </w:tbl>
    <w:p w14:paraId="0E8EDEA3" w14:textId="77777777" w:rsidR="00001626" w:rsidRDefault="0000162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9FFDBE6" w14:textId="77777777" w:rsidR="00001626" w:rsidRDefault="003F4C3C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07A3C161" w14:textId="77777777" w:rsidR="00001626" w:rsidRDefault="0000162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303E49E8" w14:textId="77777777" w:rsidR="00001626" w:rsidRDefault="003F4C3C">
      <w:pPr>
        <w:pStyle w:val="Podpunkty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60A60E70" w14:textId="77777777" w:rsidR="00001626" w:rsidRDefault="00001626">
      <w:pPr>
        <w:pStyle w:val="Podpunkty"/>
        <w:rPr>
          <w:rFonts w:ascii="Corbel" w:hAnsi="Corbel" w:cs="Corbel"/>
          <w:sz w:val="24"/>
          <w:szCs w:val="24"/>
        </w:rPr>
      </w:pPr>
    </w:p>
    <w:p w14:paraId="5D84D1A0" w14:textId="77777777" w:rsidR="00001626" w:rsidRDefault="00001626">
      <w:pPr>
        <w:rPr>
          <w:rFonts w:ascii="Corbel" w:hAnsi="Corbel" w:cs="Corbel"/>
          <w:i/>
          <w:sz w:val="24"/>
          <w:szCs w:val="24"/>
        </w:rPr>
      </w:pPr>
    </w:p>
    <w:tbl>
      <w:tblPr>
        <w:tblW w:w="95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44"/>
        <w:gridCol w:w="8685"/>
      </w:tblGrid>
      <w:tr w:rsidR="00001626" w14:paraId="08C71A88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AD964" w14:textId="77777777" w:rsidR="00001626" w:rsidRDefault="003F4C3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Arial" w:eastAsia="Arial" w:hAnsi="Arial" w:cs="Arial"/>
                <w:sz w:val="20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2AB3E" w14:textId="77777777" w:rsidR="00001626" w:rsidRDefault="003F4C3C">
            <w:pPr>
              <w:widowControl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Celem zajęć jest wprowadzenie studentów w zagadnienia związane z pozawerbalnymi formami komunikacji. W tym z: komunikacją intencjonalną, semiintencjonalną jak i nieintencjonalną. 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lastRenderedPageBreak/>
              <w:t xml:space="preserve">Tematyka zajęć obejmuje refleksję nad zagadnieniami związanymi z: </w:t>
            </w:r>
          </w:p>
          <w:p w14:paraId="1610422B" w14:textId="77777777" w:rsidR="00001626" w:rsidRDefault="003F4C3C">
            <w:pPr>
              <w:widowControl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(Zajęcia obejmują serię ćwiczeń praktycznych odbywanych w terenie.)</w:t>
            </w:r>
          </w:p>
        </w:tc>
      </w:tr>
      <w:tr w:rsidR="00001626" w14:paraId="16C842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17BA4" w14:textId="77777777" w:rsidR="00001626" w:rsidRDefault="003F4C3C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312D" w14:textId="77777777" w:rsidR="00001626" w:rsidRDefault="003F4C3C">
            <w:pPr>
              <w:widowControl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komunikacją ciałem („mowa ciała”, komunikaty zbiorowe i indywidualne, przestrzeń ciała, intencjonalna i semiintencjonalna komunikacja ciałem – taniec, teatr, ruch komunikacyjny, rytuały i zachowania sygnalizacyjne)</w:t>
            </w:r>
          </w:p>
        </w:tc>
      </w:tr>
      <w:tr w:rsidR="00001626" w14:paraId="1094984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46F9A" w14:textId="77777777" w:rsidR="00001626" w:rsidRDefault="003F4C3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A29DA" w14:textId="77777777" w:rsidR="00001626" w:rsidRDefault="003F4C3C">
            <w:pPr>
              <w:widowControl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komunikacją w przestrzeni (architektura, budowanie przestrzeni architektonicznej, znaki i symbole w przestrzeni) </w:t>
            </w:r>
          </w:p>
        </w:tc>
      </w:tr>
      <w:tr w:rsidR="00001626" w14:paraId="6042A2E2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23D26" w14:textId="77777777" w:rsidR="00001626" w:rsidRDefault="003F4C3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0A97A" w14:textId="77777777" w:rsidR="00001626" w:rsidRDefault="003F4C3C">
            <w:pPr>
              <w:widowControl w:val="0"/>
              <w:snapToGrid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komunikacją dźwiękową niewerbalną (komunikacja w muzyce, ilustracyjność tematów i technik muzycznych, „mowa muzyki” i „mowa dźwięków”, komunikaty sygnałowe)</w:t>
            </w:r>
          </w:p>
        </w:tc>
      </w:tr>
      <w:tr w:rsidR="00001626" w14:paraId="366F3C51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F91CA" w14:textId="77777777" w:rsidR="00001626" w:rsidRDefault="003F4C3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8DC7C" w14:textId="77777777" w:rsidR="00001626" w:rsidRDefault="003F4C3C">
            <w:pPr>
              <w:widowControl w:val="0"/>
              <w:snapToGrid w:val="0"/>
              <w:spacing w:before="40" w:after="40"/>
            </w:pPr>
            <w:r>
              <w:rPr>
                <w:rFonts w:ascii="Arial" w:eastAsia="Arial" w:hAnsi="Arial" w:cs="Arial"/>
                <w:sz w:val="20"/>
                <w:szCs w:val="20"/>
              </w:rPr>
              <w:t>Komunikacja ruchu i ruchem (zarządzanie i kontrola ruchu, symbolizacja i ucieleśnienie, strategie zrytualizowane)</w:t>
            </w:r>
          </w:p>
        </w:tc>
      </w:tr>
    </w:tbl>
    <w:p w14:paraId="6469BCE6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80BCB7" w14:textId="77777777" w:rsidR="00001626" w:rsidRDefault="003F4C3C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0D4874E" w14:textId="77777777" w:rsidR="00001626" w:rsidRDefault="00001626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75"/>
      </w:tblGrid>
      <w:tr w:rsidR="00001626" w14:paraId="59A3166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79878" w14:textId="77777777" w:rsidR="00001626" w:rsidRDefault="003F4C3C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12B55" w14:textId="77777777" w:rsidR="00001626" w:rsidRDefault="003F4C3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1965" w14:textId="77777777" w:rsidR="00001626" w:rsidRDefault="003F4C3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Anchor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1626" w14:paraId="4E5A05B7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F37AC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79B8C" w14:textId="77777777" w:rsidR="00001626" w:rsidRDefault="003F4C3C">
            <w:pPr>
              <w:widowControl w:val="0"/>
              <w:snapToGrid w:val="0"/>
              <w:spacing w:after="0"/>
              <w:jc w:val="both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znajomość podstaw teoretycznych współczesnych koncepcji komunikacji w zakresie przedmiotu (komunikacja sygnałowa/’semaforowa’, hiperwerbalizacyjne koncepcje komunikacji, komunikacja ‘symfoniczna’, komunikacje jako symboliczne systemy relacyjne)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73070" w14:textId="77777777" w:rsidR="00001626" w:rsidRDefault="003F4C3C">
            <w:pPr>
              <w:widowControl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K_W01,K_W02</w:t>
            </w:r>
          </w:p>
        </w:tc>
      </w:tr>
      <w:tr w:rsidR="00001626" w14:paraId="2447A38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A0CD4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B0892" w14:textId="77777777" w:rsidR="00001626" w:rsidRDefault="003F4C3C">
            <w:pPr>
              <w:widowControl w:val="0"/>
              <w:snapToGrid w:val="0"/>
              <w:spacing w:after="0" w:line="360" w:lineRule="auto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znajomość i umiejętność stosowania podstawowego instrumentarium obserwacyjnego, orientacja w problemach związanych z pracą obserwacyjną; (praca terenowa w grupach)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47DB7" w14:textId="77777777" w:rsidR="00001626" w:rsidRDefault="003F4C3C">
            <w:pPr>
              <w:widowControl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K_W03, K_U01,K_U02</w:t>
            </w:r>
          </w:p>
        </w:tc>
      </w:tr>
      <w:tr w:rsidR="00001626" w14:paraId="490059B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A62C3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BCD6D" w14:textId="77777777" w:rsidR="00001626" w:rsidRDefault="003F4C3C">
            <w:pPr>
              <w:widowControl w:val="0"/>
              <w:snapToGrid w:val="0"/>
              <w:spacing w:after="0"/>
              <w:jc w:val="both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umiejętność podstawowej analizy materiału obserwacyjnego i jego referowania, umiejętność przedstawiania interpretacji materiałów obserwacyjnych w sposób uporządkowany i czytelny; (analiza pracy terenowej w grupach)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4885E" w14:textId="4EF56D22" w:rsidR="00001626" w:rsidRDefault="003F4C3C">
            <w:pPr>
              <w:widowControl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K_U07,K_U0</w:t>
            </w:r>
            <w:r w:rsidR="00A9784B">
              <w:rPr>
                <w:rFonts w:ascii="Arial CE" w:eastAsia="Arial CE" w:hAnsi="Arial CE" w:cs="Arial CE"/>
                <w:sz w:val="20"/>
                <w:szCs w:val="20"/>
              </w:rPr>
              <w:t>8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>,K_U0</w:t>
            </w:r>
            <w:r w:rsidR="00A9784B">
              <w:rPr>
                <w:rFonts w:ascii="Arial CE" w:eastAsia="Arial CE" w:hAnsi="Arial CE" w:cs="Arial CE"/>
                <w:sz w:val="20"/>
                <w:szCs w:val="20"/>
              </w:rPr>
              <w:t>6</w:t>
            </w:r>
          </w:p>
        </w:tc>
      </w:tr>
      <w:tr w:rsidR="00001626" w14:paraId="2B9648BD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E739C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5EF00" w14:textId="77777777" w:rsidR="00001626" w:rsidRDefault="003F4C3C">
            <w:pPr>
              <w:widowControl w:val="0"/>
              <w:snapToGrid w:val="0"/>
              <w:spacing w:after="0"/>
              <w:jc w:val="both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umiejętność pracy i organizacji zadań w małym zespole, w krótkim przedziale czasu, skupionym na jednym zadaniu; znajomośc i umiejętność rozpoznawania podstawowych problemów pracy w małych grupach;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ED035" w14:textId="77777777" w:rsidR="00001626" w:rsidRDefault="003F4C3C">
            <w:pPr>
              <w:widowControl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K_K02, K_K03</w:t>
            </w:r>
          </w:p>
        </w:tc>
      </w:tr>
    </w:tbl>
    <w:p w14:paraId="3F713913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75A77381" w14:textId="77777777" w:rsidR="00001626" w:rsidRDefault="003F4C3C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34070164" w14:textId="77777777" w:rsidR="00001626" w:rsidRDefault="003F4C3C">
      <w:pPr>
        <w:pStyle w:val="Akapitzlist"/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0BCD37F7" w14:textId="77777777" w:rsidR="00001626" w:rsidRDefault="00001626">
      <w:pPr>
        <w:pStyle w:val="Akapitzlist"/>
        <w:spacing w:after="120" w:line="240" w:lineRule="auto"/>
        <w:ind w:left="1080"/>
        <w:contextualSpacing/>
        <w:jc w:val="both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001626" w14:paraId="2E67F1A4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8C204" w14:textId="77777777" w:rsidR="00001626" w:rsidRDefault="003F4C3C">
            <w:pPr>
              <w:pStyle w:val="Akapitzlist"/>
              <w:widowControl w:val="0"/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01626" w14:paraId="7D87396A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DE06A" w14:textId="77777777" w:rsidR="00001626" w:rsidRDefault="003F4C3C">
            <w:pPr>
              <w:widowControl w:val="0"/>
              <w:snapToGrid w:val="0"/>
              <w:spacing w:after="0" w:line="240" w:lineRule="auto"/>
              <w:rPr>
                <w:rFonts w:ascii="Corbel" w:hAnsi="Corbel" w:cs="Corbel"/>
                <w:sz w:val="24"/>
              </w:rPr>
            </w:pPr>
            <w:r>
              <w:rPr>
                <w:rFonts w:ascii="Corbel" w:hAnsi="Corbel" w:cs="Corbel"/>
                <w:sz w:val="24"/>
              </w:rPr>
              <w:t>materiał wprowadzający: intencjonalność, semiintencjonalność i nieintencjonalność w komunikacji, modele komunikacyjne, złożoność zjawisk komunikacyjnych; zaburzenia w komunikacji, rola intencjonalności i semiintencjonalności odbiorcy.</w:t>
            </w:r>
          </w:p>
        </w:tc>
      </w:tr>
      <w:tr w:rsidR="00001626" w14:paraId="2AF7017B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2A1D3" w14:textId="77777777" w:rsidR="00001626" w:rsidRDefault="003F4C3C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Komunikacja ciałem - „mowa ciała”. Polisensoryczność komunikacji. Zachowania gatunkowe, międzygatunkowe i kulturowe</w:t>
            </w:r>
          </w:p>
        </w:tc>
      </w:tr>
      <w:tr w:rsidR="00001626" w14:paraId="6FFD814F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09FC0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Komunikacja ciałem – rytuały i sygnały komunikacyjne; sztuka i komunikacja. </w:t>
            </w:r>
          </w:p>
        </w:tc>
      </w:tr>
      <w:tr w:rsidR="00001626" w14:paraId="73FF079A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69780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Komunikacja w przestrzeni – podstawy analizy, przestrzeń budowana i przestrzeń zajmowana, strategie wobec przestrzeni, rytuały przestrzenne. Kategorie „otwartości” i „zamknięcia” w architekturze</w:t>
            </w:r>
          </w:p>
        </w:tc>
      </w:tr>
      <w:tr w:rsidR="00001626" w14:paraId="64D85A35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393C3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Komunikacja sygnałowa – znaki, emblematy, symbole i wskaźniki; postawy jako sygnały, emblematy i symbole – komunikacja przynależności/nieprzynależności i hierarchii, komunikacja sygnałowa uzgadniająca, sygnały stabilizacyjne (gesty, symbole, kody)</w:t>
            </w:r>
          </w:p>
        </w:tc>
      </w:tr>
      <w:tr w:rsidR="00001626" w14:paraId="18EDD26A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99033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Komunikacja ruchu – kontrola ruchu w przestrzeni </w:t>
            </w:r>
          </w:p>
        </w:tc>
      </w:tr>
      <w:tr w:rsidR="00001626" w14:paraId="6ACD90DD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DF6D5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Szkic terenowy i sytuacyjny, analiza planów i topografii przestrzennych, analiza scenariuszy ruchowych – przygotowanie do zajęć praktycznych</w:t>
            </w:r>
          </w:p>
          <w:p w14:paraId="0AE350C7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-  Zajęcia terenowe: 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praktyka szkicu sytuacyjnego, przestrzeń kontrolowana, wykonanie, analiza, komentarz </w:t>
            </w:r>
          </w:p>
          <w:p w14:paraId="4D9E9E76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-  Zajęcia terenowe: komunikacja w ruchu zbiorowym, sygnalizacja i zarządzanie ruchem, sytuacyjne strategie ruchowe intencjonalne i nieintencjonalne</w:t>
            </w:r>
          </w:p>
          <w:p w14:paraId="5931E93C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-  Przygotowywanie raportów, praca z zapisem obserwacji</w:t>
            </w:r>
          </w:p>
        </w:tc>
      </w:tr>
      <w:tr w:rsidR="00001626" w14:paraId="61106E55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B67F7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Tworzenie i analiza scenariuszy ruchowych, rutynizacja i stereotypizacja ruchu, kody ruchowe, praktyka i kreacja kodów ruchowych, sygnalizacja ruchowa, analiza rutyny ruchu i rutyny komunikacyjnej, obserwacje i analiza zachowań rytualnych</w:t>
            </w:r>
          </w:p>
        </w:tc>
      </w:tr>
      <w:tr w:rsidR="00001626" w14:paraId="2AC2AA46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5999B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Wielopoziomowość komunikacji – komunikaty jawne i ukryte, analiza na przykładach: retoryka ciała, reklama, teatr, film (retoryka filmu niemego, retoryka filmu udźwiękowionego) i taniec </w:t>
            </w:r>
          </w:p>
        </w:tc>
      </w:tr>
      <w:tr w:rsidR="00001626" w14:paraId="07069E1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B068A" w14:textId="77777777" w:rsidR="00001626" w:rsidRDefault="003F4C3C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Strategie komunikacji przekierowanej uwagi – przykłady z reklamy i perswazji, analiza na przykładach</w:t>
            </w:r>
          </w:p>
        </w:tc>
      </w:tr>
    </w:tbl>
    <w:p w14:paraId="23EAEC63" w14:textId="77777777" w:rsidR="00001626" w:rsidRDefault="0000162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67B4F43" w14:textId="77777777" w:rsidR="00001626" w:rsidRDefault="003F4C3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  <w:highlight w:val="yellow"/>
        </w:rPr>
      </w:pPr>
      <w:r>
        <w:rPr>
          <w:rFonts w:ascii="Corbel" w:hAnsi="Corbel" w:cs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439C60C8" w14:textId="77777777" w:rsidR="00001626" w:rsidRDefault="00001626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001626" w14:paraId="7D05E95E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9AF46" w14:textId="77777777" w:rsidR="00001626" w:rsidRDefault="003F4C3C">
            <w:pPr>
              <w:pStyle w:val="Akapitzlist"/>
              <w:widowControl w:val="0"/>
              <w:spacing w:after="0" w:line="240" w:lineRule="auto"/>
              <w:ind w:left="708" w:hanging="708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01626" w14:paraId="549C778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6AC4A" w14:textId="77777777" w:rsidR="00001626" w:rsidRDefault="00001626">
            <w:pPr>
              <w:pStyle w:val="Akapitzlist"/>
              <w:widowControl w:val="0"/>
              <w:snapToGrid w:val="0"/>
              <w:spacing w:after="0" w:line="240" w:lineRule="auto"/>
              <w:rPr>
                <w:rFonts w:ascii="Corbel" w:hAnsi="Corbel" w:cs="Corbel"/>
                <w:sz w:val="24"/>
              </w:rPr>
            </w:pPr>
          </w:p>
        </w:tc>
      </w:tr>
      <w:tr w:rsidR="00001626" w14:paraId="038D0F6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1B442" w14:textId="77777777" w:rsidR="00001626" w:rsidRDefault="00001626">
            <w:pPr>
              <w:pStyle w:val="Akapitzlist"/>
              <w:widowControl w:val="0"/>
              <w:snapToGrid w:val="0"/>
              <w:spacing w:after="0" w:line="240" w:lineRule="auto"/>
              <w:rPr>
                <w:rFonts w:ascii="Corbel" w:hAnsi="Corbel" w:cs="Corbel"/>
                <w:sz w:val="24"/>
              </w:rPr>
            </w:pPr>
          </w:p>
        </w:tc>
      </w:tr>
      <w:tr w:rsidR="00001626" w14:paraId="29E0A5DF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40069" w14:textId="77777777" w:rsidR="00001626" w:rsidRDefault="00001626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001626" w14:paraId="2B390C8E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81ACE" w14:textId="77777777" w:rsidR="00001626" w:rsidRDefault="00001626">
            <w:pPr>
              <w:widowControl w:val="0"/>
              <w:snapToGri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001626" w14:paraId="07B97FAA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37482" w14:textId="77777777" w:rsidR="00001626" w:rsidRDefault="00001626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001626" w14:paraId="65B98E99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4777" w14:textId="77777777" w:rsidR="00001626" w:rsidRDefault="00001626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001626" w14:paraId="1862E4EC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072DA" w14:textId="77777777" w:rsidR="00001626" w:rsidRDefault="00001626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001626" w14:paraId="639108B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4EF67" w14:textId="77777777" w:rsidR="00001626" w:rsidRDefault="00001626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001626" w14:paraId="1614813C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A367" w14:textId="77777777" w:rsidR="00001626" w:rsidRDefault="00001626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</w:tbl>
    <w:p w14:paraId="2BAE93F8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36F5B45" w14:textId="77777777" w:rsidR="00001626" w:rsidRDefault="003F4C3C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</w:p>
    <w:p w14:paraId="420D5F86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6168261" w14:textId="77777777" w:rsidR="00001626" w:rsidRDefault="00001626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Cs w:val="24"/>
        </w:rPr>
      </w:pPr>
    </w:p>
    <w:p w14:paraId="78948FE3" w14:textId="77777777" w:rsidR="00001626" w:rsidRDefault="003F4C3C">
      <w:pPr>
        <w:pStyle w:val="Punktygwne"/>
        <w:spacing w:before="0" w:after="0"/>
        <w:jc w:val="both"/>
      </w:pPr>
      <w:r>
        <w:rPr>
          <w:rFonts w:ascii="Corbel" w:hAnsi="Corbel" w:cs="Corbel"/>
          <w:b w:val="0"/>
          <w:smallCaps w:val="0"/>
          <w:sz w:val="20"/>
          <w:szCs w:val="20"/>
        </w:rPr>
        <w:t>Np</w:t>
      </w:r>
      <w:r>
        <w:rPr>
          <w:rFonts w:ascii="Corbel" w:hAnsi="Corbel" w:cs="Corbel"/>
          <w:sz w:val="20"/>
          <w:szCs w:val="20"/>
        </w:rPr>
        <w:t xml:space="preserve">.: </w:t>
      </w:r>
    </w:p>
    <w:p w14:paraId="7660F0B2" w14:textId="77777777" w:rsidR="00001626" w:rsidRDefault="003F4C3C">
      <w:pPr>
        <w:pStyle w:val="Punktygwne"/>
        <w:spacing w:before="0" w:after="0"/>
        <w:jc w:val="both"/>
      </w:pPr>
      <w:r>
        <w:rPr>
          <w:rFonts w:ascii="Corbel" w:eastAsia="Corbel" w:hAnsi="Corbel" w:cs="Corbel"/>
          <w:b w:val="0"/>
          <w:i/>
          <w:sz w:val="20"/>
          <w:szCs w:val="20"/>
        </w:rPr>
        <w:t xml:space="preserve">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</w:t>
      </w:r>
      <w:r>
        <w:rPr>
          <w:rFonts w:ascii="Corbel" w:hAnsi="Corbel" w:cs="Corbel"/>
          <w:bCs/>
          <w:i/>
          <w:smallCaps w:val="0"/>
          <w:sz w:val="20"/>
          <w:szCs w:val="20"/>
        </w:rPr>
        <w:t>wykład problemowy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, </w:t>
      </w:r>
      <w:r>
        <w:rPr>
          <w:rFonts w:ascii="Corbel" w:hAnsi="Corbel" w:cs="Corbel"/>
          <w:bCs/>
          <w:i/>
          <w:smallCaps w:val="0"/>
          <w:sz w:val="20"/>
          <w:szCs w:val="20"/>
        </w:rPr>
        <w:t>wykład z prezentacją multimedialną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, metody kształcenia na odległość </w:t>
      </w:r>
    </w:p>
    <w:p w14:paraId="7FFED8F7" w14:textId="77777777" w:rsidR="00001626" w:rsidRDefault="003F4C3C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 w:cs="Corbel"/>
          <w:bCs/>
          <w:i/>
          <w:smallCaps w:val="0"/>
          <w:sz w:val="20"/>
          <w:szCs w:val="20"/>
        </w:rPr>
        <w:t xml:space="preserve">analiza tekstów z dyskusją, metoda projektów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(projekt badawczy, wdrożeniowy, praktyczny), </w:t>
      </w:r>
      <w:r>
        <w:rPr>
          <w:rFonts w:ascii="Corbel" w:hAnsi="Corbel" w:cs="Corbel"/>
          <w:bCs/>
          <w:i/>
          <w:smallCaps w:val="0"/>
          <w:sz w:val="20"/>
          <w:szCs w:val="20"/>
        </w:rPr>
        <w:t xml:space="preserve">praca w grupach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(rozwiązywanie zadań, dyskusja),gry dydaktyczne, metody kształcenia na odległość </w:t>
      </w:r>
    </w:p>
    <w:p w14:paraId="6ED6891E" w14:textId="77777777" w:rsidR="00001626" w:rsidRDefault="003F4C3C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37573ACF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877FB3B" w14:textId="77777777" w:rsidR="00001626" w:rsidRDefault="0000162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DEDCCB8" w14:textId="77777777" w:rsidR="00001626" w:rsidRDefault="0000162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6D370DB" w14:textId="77777777" w:rsidR="00001626" w:rsidRDefault="0000162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389D5C5F" w14:textId="77777777" w:rsidR="00001626" w:rsidRDefault="0000162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7ED880D" w14:textId="77777777" w:rsidR="00001626" w:rsidRDefault="003F4C3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3E88FE8A" w14:textId="77777777" w:rsidR="00001626" w:rsidRDefault="0000162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2899C73B" w14:textId="77777777" w:rsidR="00001626" w:rsidRDefault="003F4C3C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2E7CE6C5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29"/>
      </w:tblGrid>
      <w:tr w:rsidR="00001626" w14:paraId="1F1B1EC1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DE039" w14:textId="77777777" w:rsidR="00001626" w:rsidRDefault="003F4C3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F9738" w14:textId="77777777" w:rsidR="00001626" w:rsidRDefault="003F4C3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D8EEC5" w14:textId="77777777" w:rsidR="00001626" w:rsidRDefault="003F4C3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CFAF2" w14:textId="77777777" w:rsidR="00001626" w:rsidRDefault="003F4C3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4343E7A9" w14:textId="77777777" w:rsidR="00001626" w:rsidRDefault="003F4C3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001626" w14:paraId="725C6CD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79C37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0DC78" w14:textId="77777777" w:rsidR="00001626" w:rsidRDefault="003F4C3C">
            <w:pPr>
              <w:pStyle w:val="Punktygwne"/>
              <w:widowControl w:val="0"/>
              <w:snapToGrid w:val="0"/>
              <w:spacing w:before="0" w:after="0"/>
            </w:pPr>
            <w:r>
              <w:rPr>
                <w:b w:val="0"/>
                <w:sz w:val="22"/>
              </w:rPr>
              <w:t>Ocena ciągła, obserwacja pracy w grupach i aktywności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D66B" w14:textId="77777777" w:rsidR="00001626" w:rsidRDefault="003F4C3C">
            <w:pPr>
              <w:pStyle w:val="Punktygwne"/>
              <w:widowControl w:val="0"/>
              <w:snapToGrid w:val="0"/>
              <w:spacing w:before="0" w:after="0"/>
            </w:pPr>
            <w:r>
              <w:rPr>
                <w:b w:val="0"/>
                <w:sz w:val="22"/>
              </w:rPr>
              <w:t>K</w:t>
            </w:r>
          </w:p>
        </w:tc>
      </w:tr>
      <w:tr w:rsidR="00001626" w14:paraId="362365B9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91148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8DD95" w14:textId="77777777" w:rsidR="00001626" w:rsidRDefault="003F4C3C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Realizacja zadań i ćwiczeń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8296" w14:textId="77777777" w:rsidR="00001626" w:rsidRDefault="003F4C3C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K</w:t>
            </w:r>
          </w:p>
        </w:tc>
      </w:tr>
      <w:tr w:rsidR="00001626" w14:paraId="44A8B79B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22AA7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EK_03-04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AF4DF" w14:textId="77777777" w:rsidR="00001626" w:rsidRDefault="003F4C3C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Realizacja mikroprojektu (praca terenowa i analiza)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115A9" w14:textId="77777777" w:rsidR="00001626" w:rsidRDefault="003F4C3C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K</w:t>
            </w:r>
          </w:p>
        </w:tc>
      </w:tr>
    </w:tbl>
    <w:p w14:paraId="17988C88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253E8DD" w14:textId="77777777" w:rsidR="00001626" w:rsidRDefault="003F4C3C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78194D9C" w14:textId="77777777" w:rsidR="00001626" w:rsidRDefault="00001626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001626" w14:paraId="53B55631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34604" w14:textId="77777777" w:rsidR="00001626" w:rsidRDefault="003F4C3C">
            <w:pPr>
              <w:widowControl w:val="0"/>
              <w:numPr>
                <w:ilvl w:val="0"/>
                <w:numId w:val="2"/>
              </w:numPr>
              <w:snapToGrid w:val="0"/>
            </w:pPr>
            <w:r>
              <w:t>40% Ocena aktywności na zajęciach (udział w dyskusji, opanowanie materiału);</w:t>
            </w:r>
          </w:p>
          <w:p w14:paraId="4761FA78" w14:textId="77777777" w:rsidR="00001626" w:rsidRDefault="003F4C3C">
            <w:pPr>
              <w:widowControl w:val="0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60% Wykonanie pracy mikroprojektowej (samodzielna prezentacja wykonanej obserwacji i jej analizy w oparciu o materiał teoretyczny przedstawiany na zajęciach) w 2-3 os. grupie;</w:t>
            </w:r>
          </w:p>
          <w:p w14:paraId="14D2A08B" w14:textId="77777777" w:rsidR="00001626" w:rsidRDefault="003F4C3C">
            <w:pPr>
              <w:widowControl w:val="0"/>
              <w:snapToGrid w:val="0"/>
            </w:pPr>
            <w:r>
              <w:t>ocenie podlegają:</w:t>
            </w:r>
          </w:p>
          <w:p w14:paraId="6F65AAE4" w14:textId="77777777" w:rsidR="00001626" w:rsidRDefault="003F4C3C">
            <w:pPr>
              <w:widowControl w:val="0"/>
              <w:snapToGrid w:val="0"/>
            </w:pPr>
            <w:r>
              <w:t>- dobór materiału obserwacyjnego (konsultowany z nauczycielem);</w:t>
            </w:r>
          </w:p>
          <w:p w14:paraId="2A59E816" w14:textId="77777777" w:rsidR="00001626" w:rsidRDefault="003F4C3C">
            <w:pPr>
              <w:widowControl w:val="0"/>
              <w:snapToGrid w:val="0"/>
            </w:pPr>
            <w:r>
              <w:t>- ocena pracy wspólnej studentów:</w:t>
            </w:r>
          </w:p>
          <w:p w14:paraId="56296630" w14:textId="77777777" w:rsidR="00001626" w:rsidRDefault="003F4C3C">
            <w:pPr>
              <w:widowControl w:val="0"/>
              <w:snapToGrid w:val="0"/>
            </w:pPr>
            <w:r>
              <w:t>a) podział zajęć w grupie, b) prezentacja,</w:t>
            </w:r>
          </w:p>
          <w:p w14:paraId="0D42233F" w14:textId="77777777" w:rsidR="00001626" w:rsidRDefault="003F4C3C">
            <w:pPr>
              <w:widowControl w:val="0"/>
              <w:snapToGrid w:val="0"/>
              <w:spacing w:after="0"/>
              <w:rPr>
                <w:rFonts w:ascii="Corbel" w:eastAsia="Arial" w:hAnsi="Corbel" w:cs="Corbel"/>
                <w:szCs w:val="24"/>
              </w:rPr>
            </w:pPr>
            <w:r>
              <w:rPr>
                <w:rFonts w:ascii="Corbel" w:eastAsia="Arial" w:hAnsi="Corbel" w:cs="Corbel"/>
                <w:szCs w:val="24"/>
              </w:rPr>
              <w:t>c) przygotowane materiały i ich opracowanie</w:t>
            </w:r>
          </w:p>
          <w:p w14:paraId="3D4ED944" w14:textId="77777777" w:rsidR="00001626" w:rsidRDefault="00001626">
            <w:pPr>
              <w:widowControl w:val="0"/>
              <w:snapToGrid w:val="0"/>
              <w:spacing w:after="0"/>
              <w:rPr>
                <w:rFonts w:ascii="Corbel" w:eastAsia="Arial" w:hAnsi="Corbel" w:cs="Corbel"/>
                <w:szCs w:val="24"/>
              </w:rPr>
            </w:pPr>
          </w:p>
          <w:p w14:paraId="14F1D415" w14:textId="77777777" w:rsidR="00001626" w:rsidRDefault="003F4C3C">
            <w:pPr>
              <w:widowControl w:val="0"/>
              <w:snapToGrid w:val="0"/>
              <w:spacing w:after="0"/>
              <w:rPr>
                <w:rFonts w:ascii="Corbel" w:eastAsia="Arial" w:hAnsi="Corbel" w:cs="Corbel"/>
                <w:szCs w:val="24"/>
              </w:rPr>
            </w:pPr>
            <w:r>
              <w:rPr>
                <w:rFonts w:ascii="Corbel" w:eastAsia="Arial" w:hAnsi="Corbel" w:cs="Corbel"/>
                <w:szCs w:val="24"/>
              </w:rPr>
              <w:t>Istotnym elementem oceny jest ocena wzajemna (peer-review)!</w:t>
            </w:r>
          </w:p>
          <w:p w14:paraId="1C61DCF5" w14:textId="77777777" w:rsidR="00001626" w:rsidRDefault="00001626">
            <w:pPr>
              <w:widowControl w:val="0"/>
              <w:snapToGrid w:val="0"/>
              <w:spacing w:after="0"/>
              <w:rPr>
                <w:rFonts w:ascii="Corbel" w:eastAsia="Arial" w:hAnsi="Corbel" w:cs="Corbel"/>
                <w:szCs w:val="24"/>
              </w:rPr>
            </w:pPr>
          </w:p>
          <w:p w14:paraId="716666BD" w14:textId="77777777" w:rsidR="00001626" w:rsidRDefault="003F4C3C">
            <w:pPr>
              <w:pStyle w:val="Tekstpodstawowy"/>
              <w:spacing w:after="0" w:line="300" w:lineRule="atLeast"/>
              <w:rPr>
                <w:rFonts w:ascii="Corbel" w:hAnsi="Corbel" w:cs="Corbel"/>
                <w:szCs w:val="24"/>
              </w:rPr>
            </w:pPr>
            <w:r>
              <w:rPr>
                <w:rFonts w:ascii="Calibri;sans-serif" w:hAnsi="Calibri;sans-serif" w:cs="Calibri;sans-serif"/>
                <w:sz w:val="24"/>
                <w:szCs w:val="24"/>
              </w:rPr>
              <w:t>Wszystkie oceny cząstkowe mogą ulegać przeciążeniu tzn. słuchacz może otrzymać za każde zadanie więcej punktów niż maksimum w przypadku wyróżniającego się wykonania. Punktacja nie jest normalizowana jest do 100%.*</w:t>
            </w:r>
          </w:p>
          <w:p w14:paraId="0080424C" w14:textId="77777777" w:rsidR="00001626" w:rsidRDefault="00001626">
            <w:pPr>
              <w:pStyle w:val="Tekstpodstawowy"/>
              <w:spacing w:after="0" w:line="300" w:lineRule="atLeast"/>
              <w:rPr>
                <w:rFonts w:ascii="Calibri;sans-serif" w:hAnsi="Calibri;sans-serif" w:cs="Calibri;sans-serif"/>
                <w:sz w:val="24"/>
              </w:rPr>
            </w:pPr>
          </w:p>
          <w:p w14:paraId="537C04CC" w14:textId="77777777" w:rsidR="00001626" w:rsidRDefault="003F4C3C">
            <w:pPr>
              <w:pStyle w:val="Tekstpodstawowy"/>
              <w:spacing w:line="300" w:lineRule="atLeast"/>
            </w:pPr>
            <w:r>
              <w:rPr>
                <w:rFonts w:ascii="Calibri;sans-serif" w:hAnsi="Calibri;sans-serif" w:cs="Calibri;sans-serif"/>
                <w:sz w:val="24"/>
              </w:rPr>
              <w:t>Skala ocen:</w:t>
            </w:r>
          </w:p>
          <w:p w14:paraId="57D0DFE0" w14:textId="77777777" w:rsidR="00001626" w:rsidRDefault="003F4C3C">
            <w:pPr>
              <w:pStyle w:val="Tekstpodstawowy"/>
              <w:spacing w:line="300" w:lineRule="atLeast"/>
            </w:pPr>
            <w:r>
              <w:rPr>
                <w:rFonts w:ascii="Calibri;sans-serif" w:hAnsi="Calibri;sans-serif" w:cs="Calibri;sans-serif"/>
                <w:color w:val="953734"/>
              </w:rPr>
              <w:t>&lt; 49 – niedostateczny</w:t>
            </w:r>
          </w:p>
          <w:p w14:paraId="03296A8C" w14:textId="77777777" w:rsidR="00001626" w:rsidRDefault="003F4C3C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938953"/>
              </w:rPr>
              <w:t>50-55 – dostateczny</w:t>
            </w:r>
          </w:p>
          <w:p w14:paraId="66E92BFD" w14:textId="77777777" w:rsidR="00001626" w:rsidRDefault="003F4C3C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938953"/>
              </w:rPr>
              <w:t>56-65 – dostateczny</w:t>
            </w:r>
          </w:p>
          <w:p w14:paraId="1A496C6B" w14:textId="77777777" w:rsidR="00001626" w:rsidRDefault="003F4C3C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95B3D7"/>
              </w:rPr>
              <w:t>66-70 – dostateczny+</w:t>
            </w:r>
          </w:p>
          <w:p w14:paraId="0DD117BF" w14:textId="77777777" w:rsidR="00001626" w:rsidRDefault="003F4C3C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C3D69B"/>
              </w:rPr>
              <w:t>71-78 – dobry -</w:t>
            </w:r>
          </w:p>
          <w:p w14:paraId="2988A9D1" w14:textId="77777777" w:rsidR="00001626" w:rsidRDefault="003F4C3C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C3D69B"/>
              </w:rPr>
              <w:t>79-85 – dobry</w:t>
            </w:r>
          </w:p>
          <w:p w14:paraId="7AE78FF0" w14:textId="77777777" w:rsidR="00001626" w:rsidRDefault="003F4C3C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76923C"/>
              </w:rPr>
              <w:t>86-89 - dobry +</w:t>
            </w:r>
          </w:p>
          <w:p w14:paraId="2089E24D" w14:textId="77777777" w:rsidR="00001626" w:rsidRDefault="003F4C3C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4F6128"/>
              </w:rPr>
              <w:t>90-94 – bardzo dobry -</w:t>
            </w:r>
          </w:p>
          <w:p w14:paraId="64BB5E0A" w14:textId="77777777" w:rsidR="00001626" w:rsidRPr="0079624B" w:rsidRDefault="003F4C3C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4F6128"/>
              </w:rPr>
              <w:t>&gt; 95 – bardzo dobry</w:t>
            </w:r>
          </w:p>
          <w:p w14:paraId="03139D13" w14:textId="77777777" w:rsidR="00001626" w:rsidRDefault="00001626">
            <w:pPr>
              <w:pStyle w:val="Tekstpodstawowy"/>
              <w:spacing w:line="300" w:lineRule="atLeast"/>
              <w:rPr>
                <w:rFonts w:ascii="Calibri;sans-serif" w:hAnsi="Calibri;sans-serif" w:cs="Calibri;sans-serif"/>
                <w:sz w:val="24"/>
              </w:rPr>
            </w:pPr>
          </w:p>
          <w:p w14:paraId="227D838C" w14:textId="77777777" w:rsidR="00001626" w:rsidRDefault="00001626">
            <w:pPr>
              <w:pStyle w:val="Tekstpodstawowy"/>
              <w:spacing w:line="300" w:lineRule="atLeast"/>
              <w:rPr>
                <w:rFonts w:ascii="Calibri;sans-serif" w:hAnsi="Calibri;sans-serif" w:cs="Calibri;sans-serif"/>
                <w:sz w:val="24"/>
              </w:rPr>
            </w:pPr>
          </w:p>
          <w:p w14:paraId="442C5AB1" w14:textId="77777777" w:rsidR="00001626" w:rsidRDefault="003F4C3C">
            <w:pPr>
              <w:pStyle w:val="Tekstpodstawowy"/>
              <w:widowControl w:val="0"/>
              <w:snapToGrid w:val="0"/>
              <w:spacing w:after="0" w:line="300" w:lineRule="atLeast"/>
              <w:rPr>
                <w:rFonts w:ascii="Corbel" w:eastAsia="Arial" w:hAnsi="Corbel" w:cs="Corbel"/>
                <w:szCs w:val="24"/>
              </w:rPr>
            </w:pPr>
            <w:r>
              <w:rPr>
                <w:rFonts w:ascii="Calibri;sans-serif" w:eastAsia="Arial" w:hAnsi="Calibri;sans-serif" w:cs="Calibri;sans-serif"/>
                <w:sz w:val="24"/>
                <w:szCs w:val="24"/>
              </w:rPr>
              <w:t xml:space="preserve">*celem tego systemu jest normalizacja warunków i nierówności między słuchaczami związanych np. z kompetencjami społecznymi i kulturowymi, zapleczem społecznym czy indywidualnymi preferencjami i zdolnościami, bądź ograniczeniami. System silnie preferuje </w:t>
            </w:r>
            <w:r>
              <w:rPr>
                <w:rFonts w:ascii="Calibri;sans-serif" w:eastAsia="Arial" w:hAnsi="Calibri;sans-serif" w:cs="Calibri;sans-serif"/>
                <w:i/>
                <w:iCs/>
                <w:sz w:val="24"/>
                <w:szCs w:val="24"/>
              </w:rPr>
              <w:t>praktykę</w:t>
            </w:r>
            <w:r>
              <w:rPr>
                <w:rFonts w:ascii="Calibri;sans-serif" w:eastAsia="Arial" w:hAnsi="Calibri;sans-serif" w:cs="Calibri;sans-serif"/>
                <w:sz w:val="24"/>
                <w:szCs w:val="24"/>
              </w:rPr>
              <w:t xml:space="preserve"> zastosowania wiedzy i umiejętności, odtwarzanie nabytej wiedzy nie jest priorytetem.</w:t>
            </w:r>
          </w:p>
          <w:p w14:paraId="74A0180E" w14:textId="77777777" w:rsidR="00001626" w:rsidRDefault="00001626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sz w:val="22"/>
              </w:rPr>
            </w:pPr>
          </w:p>
          <w:p w14:paraId="3CC7D689" w14:textId="77777777" w:rsidR="00001626" w:rsidRDefault="00001626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597E0C93" w14:textId="77777777" w:rsidR="00001626" w:rsidRDefault="00001626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6EB87A21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6322625" w14:textId="77777777" w:rsidR="00001626" w:rsidRDefault="003F4C3C">
      <w:pPr>
        <w:pStyle w:val="Bezodstpw"/>
        <w:ind w:left="284" w:hanging="284"/>
        <w:jc w:val="both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EE317C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901"/>
        <w:gridCol w:w="4628"/>
      </w:tblGrid>
      <w:tr w:rsidR="00001626" w14:paraId="7414F723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D25EF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50B07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1626" w14:paraId="23396671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9F39F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408FC" w14:textId="77777777" w:rsidR="00001626" w:rsidRDefault="003F4C3C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001626" w14:paraId="7B599620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BCE0C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01BC89C4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DCACB" w14:textId="77777777" w:rsidR="00001626" w:rsidRDefault="003F4C3C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01626" w14:paraId="4338E387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14C4D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7C38F76B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8AEB8" w14:textId="77777777" w:rsidR="00001626" w:rsidRDefault="005C0A53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3F4C3C">
              <w:rPr>
                <w:rFonts w:ascii="Corbel" w:hAnsi="Corbel" w:cs="Corbel"/>
                <w:sz w:val="24"/>
                <w:szCs w:val="24"/>
              </w:rPr>
              <w:t>0 (lektury)</w:t>
            </w:r>
          </w:p>
          <w:p w14:paraId="20D3A396" w14:textId="77777777" w:rsidR="00001626" w:rsidRDefault="003F4C3C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 (ćwiczenia)</w:t>
            </w:r>
          </w:p>
          <w:p w14:paraId="723763B1" w14:textId="77777777" w:rsidR="00001626" w:rsidRDefault="003F4C3C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 (praca w terenie)</w:t>
            </w:r>
          </w:p>
          <w:p w14:paraId="51F871F7" w14:textId="77777777" w:rsidR="00001626" w:rsidRDefault="003F4C3C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 (analiza materiału)</w:t>
            </w:r>
          </w:p>
        </w:tc>
      </w:tr>
      <w:tr w:rsidR="00001626" w14:paraId="15DC6D78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D80DD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5A1CA" w14:textId="77777777" w:rsidR="00001626" w:rsidRDefault="005C0A53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3F4C3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001626" w14:paraId="05F2CA7D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05915" w14:textId="77777777" w:rsidR="00001626" w:rsidRDefault="003F4C3C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645DB" w14:textId="77777777" w:rsidR="00001626" w:rsidRDefault="003F4C3C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E4ECE6A" w14:textId="77777777" w:rsidR="00001626" w:rsidRDefault="003F4C3C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518A68" w14:textId="77777777" w:rsidR="00001626" w:rsidRDefault="000016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3377FB7" w14:textId="77777777" w:rsidR="00001626" w:rsidRDefault="003F4C3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532B5157" w14:textId="77777777" w:rsidR="00001626" w:rsidRDefault="00001626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22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3542"/>
        <w:gridCol w:w="3980"/>
      </w:tblGrid>
      <w:tr w:rsidR="00001626" w14:paraId="67801950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C69D8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56B40" w14:textId="77777777" w:rsidR="00001626" w:rsidRDefault="00001626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01626" w14:paraId="464CBFD4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81291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D0BDC" w14:textId="77777777" w:rsidR="00001626" w:rsidRDefault="00001626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0967F7BE" w14:textId="77777777" w:rsidR="00001626" w:rsidRDefault="0000162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497F1B0" w14:textId="77777777" w:rsidR="00001626" w:rsidRDefault="003F4C3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041FD996" w14:textId="77777777" w:rsidR="00001626" w:rsidRDefault="0000162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23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7523"/>
      </w:tblGrid>
      <w:tr w:rsidR="00001626" w14:paraId="01ACA635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B11A7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59111C6B" w14:textId="77777777" w:rsidR="00001626" w:rsidRDefault="00001626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007C0C2B" w14:textId="77777777" w:rsidR="00001626" w:rsidRDefault="00001626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31EB7230" w14:textId="77777777" w:rsidR="00001626" w:rsidRDefault="003F4C3C">
            <w:pPr>
              <w:widowControl w:val="0"/>
              <w:numPr>
                <w:ilvl w:val="0"/>
                <w:numId w:val="3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Winkin Y.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Antropologia komunikacji. Od teorii do badań terenowych</w:t>
            </w:r>
            <w:r>
              <w:rPr>
                <w:rFonts w:ascii="Arial" w:eastAsia="Arial CE" w:hAnsi="Arial"/>
                <w:sz w:val="20"/>
                <w:szCs w:val="20"/>
              </w:rPr>
              <w:t>, tł. A. Karpowicz, wst. W. Burszta, Wydawnictwo Uniwersytetu Warszawskiego, Warszawa 2007</w:t>
            </w:r>
          </w:p>
          <w:p w14:paraId="3088677E" w14:textId="77777777" w:rsidR="00001626" w:rsidRDefault="003F4C3C">
            <w:pPr>
              <w:widowControl w:val="0"/>
              <w:numPr>
                <w:ilvl w:val="0"/>
                <w:numId w:val="3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Goffman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Człowiek w teatrze życia codziennego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, </w:t>
            </w:r>
          </w:p>
          <w:p w14:paraId="7BF719C2" w14:textId="77777777" w:rsidR="00001626" w:rsidRPr="0079624B" w:rsidRDefault="003F4C3C">
            <w:pPr>
              <w:widowControl w:val="0"/>
              <w:numPr>
                <w:ilvl w:val="0"/>
                <w:numId w:val="3"/>
              </w:numPr>
              <w:rPr>
                <w:rFonts w:ascii="Arial" w:hAnsi="Arial"/>
                <w:sz w:val="20"/>
                <w:szCs w:val="20"/>
                <w:lang w:val="en-GB"/>
              </w:rPr>
            </w:pPr>
            <w:r w:rsidRPr="0079624B">
              <w:rPr>
                <w:rFonts w:ascii="Arial" w:eastAsia="Arial CE" w:hAnsi="Arial"/>
                <w:sz w:val="20"/>
                <w:szCs w:val="20"/>
                <w:lang w:val="en-GB"/>
              </w:rPr>
              <w:t xml:space="preserve">Bourdieu P. </w:t>
            </w:r>
            <w:r w:rsidRPr="0079624B">
              <w:rPr>
                <w:rFonts w:ascii="Arial" w:eastAsia="Arial CE" w:hAnsi="Arial"/>
                <w:i/>
                <w:iCs/>
                <w:sz w:val="20"/>
                <w:szCs w:val="20"/>
                <w:lang w:val="en-GB"/>
              </w:rPr>
              <w:t>Social space and symbolic power</w:t>
            </w:r>
            <w:r w:rsidRPr="0079624B">
              <w:rPr>
                <w:rFonts w:ascii="Arial" w:eastAsia="Arial CE" w:hAnsi="Arial"/>
                <w:sz w:val="20"/>
                <w:szCs w:val="20"/>
                <w:lang w:val="en-GB"/>
              </w:rPr>
              <w:t>, "Sociological theory" 1989 7(1):14-25 (dostepne u prowadzącego)</w:t>
            </w:r>
          </w:p>
          <w:p w14:paraId="51A42CE3" w14:textId="77777777" w:rsidR="00001626" w:rsidRDefault="003F4C3C">
            <w:pPr>
              <w:widowControl w:val="0"/>
              <w:numPr>
                <w:ilvl w:val="0"/>
                <w:numId w:val="3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Eliade M. ,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Świat, miasto, dom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, „Znak” 1991 nr 12. </w:t>
            </w:r>
          </w:p>
          <w:p w14:paraId="225AD702" w14:textId="77777777" w:rsidR="00001626" w:rsidRDefault="003F4C3C">
            <w:pPr>
              <w:widowControl w:val="0"/>
              <w:numPr>
                <w:ilvl w:val="0"/>
                <w:numId w:val="3"/>
              </w:numPr>
              <w:snapToGrid w:val="0"/>
              <w:spacing w:after="0"/>
              <w:rPr>
                <w:rFonts w:ascii="Arial" w:hAnsi="Arial" w:cs="Corbe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Eco U.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Pejzaż semiotyczny</w:t>
            </w:r>
            <w:r>
              <w:rPr>
                <w:rFonts w:ascii="Arial" w:eastAsia="Arial CE" w:hAnsi="Arial"/>
                <w:sz w:val="20"/>
                <w:szCs w:val="20"/>
              </w:rPr>
              <w:t>, Warszawa 1972</w:t>
            </w:r>
          </w:p>
          <w:p w14:paraId="11F739B4" w14:textId="77777777" w:rsidR="00001626" w:rsidRDefault="00001626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sz w:val="22"/>
              </w:rPr>
            </w:pPr>
          </w:p>
          <w:p w14:paraId="546D56ED" w14:textId="77777777" w:rsidR="00001626" w:rsidRDefault="00001626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sz w:val="22"/>
              </w:rPr>
            </w:pPr>
          </w:p>
        </w:tc>
      </w:tr>
      <w:tr w:rsidR="00001626" w14:paraId="2C8125E1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0E624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39D756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Goffman E.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Pietno. Rozważania o zranionej tożsamości</w:t>
            </w:r>
            <w:r>
              <w:rPr>
                <w:rFonts w:ascii="Arial" w:eastAsia="Arial CE" w:hAnsi="Arial"/>
                <w:sz w:val="20"/>
                <w:szCs w:val="20"/>
              </w:rPr>
              <w:t>, tł. A. Dzierżynska, J. Tokarska-Bakir, wstęp: J. Tokarska-Bakir, Gdańsk 2007</w:t>
            </w:r>
          </w:p>
          <w:p w14:paraId="4306CA12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Geertz Cl.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Zastane światło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,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 xml:space="preserve">antropologiczne refleksje na tematy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lastRenderedPageBreak/>
              <w:t>filozoficzne</w:t>
            </w:r>
            <w:r>
              <w:rPr>
                <w:rFonts w:ascii="Arial" w:eastAsia="Arial CE" w:hAnsi="Arial"/>
                <w:sz w:val="20"/>
                <w:szCs w:val="20"/>
              </w:rPr>
              <w:t>, tł. i wstęp Z. Pucek, Kraków 2003</w:t>
            </w:r>
          </w:p>
          <w:p w14:paraId="7682E77B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Douglas M.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 xml:space="preserve">Czystość i zmaza, </w:t>
            </w:r>
            <w:r>
              <w:rPr>
                <w:rFonts w:ascii="Arial" w:eastAsia="Arial CE" w:hAnsi="Arial"/>
                <w:sz w:val="20"/>
                <w:szCs w:val="20"/>
              </w:rPr>
              <w:t>ł. M. Bucholc, wstep: J. Tokarska-Bakir, Warszawa 2007</w:t>
            </w:r>
          </w:p>
          <w:p w14:paraId="16F75CD0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Bagłajewski A. ,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Miasto-palimpsest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, w: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Miejsce rzeczywiste-miejsce wyobrażone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, (red.) Kitowska-Łysiak, Lublin 1999. </w:t>
            </w:r>
          </w:p>
          <w:p w14:paraId="2AB0463F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Tazbir J.,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Wojna na pomniki</w:t>
            </w:r>
            <w:r>
              <w:rPr>
                <w:rFonts w:ascii="Arial" w:eastAsia="Arial CE" w:hAnsi="Arial"/>
                <w:sz w:val="20"/>
                <w:szCs w:val="20"/>
              </w:rPr>
              <w:t>, „Polityka” 1996 nr 29</w:t>
            </w:r>
          </w:p>
          <w:p w14:paraId="47839895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Harding D.,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Wyobrażenia miasta i jego przestrzeni</w:t>
            </w:r>
            <w:r>
              <w:rPr>
                <w:rFonts w:ascii="Arial" w:eastAsia="Arial CE" w:hAnsi="Arial"/>
                <w:sz w:val="20"/>
                <w:szCs w:val="20"/>
              </w:rPr>
              <w:t>, „Konteksty” 2008 3-4</w:t>
            </w:r>
          </w:p>
          <w:p w14:paraId="1E8160BA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Krajewski M.,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Co to jest sztuka publiczna?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 „Kultura i Społeczeństwo” 2005</w:t>
            </w:r>
          </w:p>
          <w:p w14:paraId="646875D1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Krenz J.,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Architektura znaczeń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, Gdańsk 1997 </w:t>
            </w:r>
          </w:p>
          <w:p w14:paraId="167CC040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Rey J., </w:t>
            </w:r>
            <w:r>
              <w:rPr>
                <w:rFonts w:ascii="Arial" w:eastAsia="Arial CE" w:hAnsi="Arial"/>
                <w:i/>
                <w:sz w:val="20"/>
                <w:szCs w:val="20"/>
              </w:rPr>
              <w:t>Taniec, jego rozwój i formy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, Warszawa 1958. </w:t>
            </w:r>
          </w:p>
          <w:p w14:paraId="4AE80B40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Lange R. , </w:t>
            </w:r>
            <w:r>
              <w:rPr>
                <w:rFonts w:ascii="Arial" w:eastAsia="Arial CE" w:hAnsi="Arial"/>
                <w:i/>
                <w:sz w:val="20"/>
                <w:szCs w:val="20"/>
              </w:rPr>
              <w:t>O istocie tańca i jego przejawach w kulturze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, PWM, Kraków 1988. </w:t>
            </w:r>
          </w:p>
          <w:p w14:paraId="43047256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Rytualizacja w komunikacji społecznej i interkultur</w:t>
            </w:r>
            <w:r>
              <w:rPr>
                <w:rFonts w:ascii="Arial" w:hAnsi="Arial" w:cs="serif"/>
                <w:i/>
                <w:iCs/>
                <w:sz w:val="20"/>
                <w:szCs w:val="20"/>
              </w:rPr>
              <w:t>owej</w:t>
            </w:r>
            <w:r>
              <w:rPr>
                <w:rFonts w:ascii="Arial" w:hAnsi="Arial" w:cs="serif"/>
                <w:sz w:val="20"/>
                <w:szCs w:val="20"/>
              </w:rPr>
              <w:t>, (red.) J. Mazur, Lublin 2004</w:t>
            </w:r>
          </w:p>
          <w:p w14:paraId="1CA33026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Collins E., </w:t>
            </w:r>
            <w:r>
              <w:rPr>
                <w:rFonts w:ascii="Arial" w:hAnsi="Arial" w:cs="serif"/>
                <w:i/>
                <w:iCs/>
                <w:sz w:val="20"/>
                <w:szCs w:val="20"/>
              </w:rPr>
              <w:t>Mowa ciała. Co znacz</w:t>
            </w:r>
            <w:r>
              <w:rPr>
                <w:rFonts w:ascii="Arial" w:hAnsi="Arial" w:cs="sans-serif;Arial"/>
                <w:i/>
                <w:iCs/>
                <w:sz w:val="20"/>
                <w:szCs w:val="20"/>
              </w:rPr>
              <w:t xml:space="preserve">ą </w:t>
            </w:r>
            <w:r>
              <w:rPr>
                <w:rFonts w:ascii="Arial" w:hAnsi="Arial" w:cs="serif"/>
                <w:i/>
                <w:iCs/>
                <w:sz w:val="20"/>
                <w:szCs w:val="20"/>
              </w:rPr>
              <w:t>nasze gesty?</w:t>
            </w:r>
            <w:r>
              <w:rPr>
                <w:rFonts w:ascii="Arial" w:hAnsi="Arial" w:cs="serif"/>
                <w:sz w:val="20"/>
                <w:szCs w:val="20"/>
              </w:rPr>
              <w:t>, Warszawa 2002</w:t>
            </w:r>
          </w:p>
          <w:p w14:paraId="3B7AF2A7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 xml:space="preserve">Kognitywna teoria filmu. </w:t>
            </w:r>
            <w:r>
              <w:rPr>
                <w:rFonts w:ascii="Arial" w:hAnsi="Arial" w:cs="serif"/>
                <w:i/>
                <w:iCs/>
                <w:sz w:val="20"/>
                <w:szCs w:val="20"/>
              </w:rPr>
              <w:t>Antologia przekładów</w:t>
            </w:r>
            <w:r>
              <w:rPr>
                <w:rFonts w:ascii="Arial" w:hAnsi="Arial" w:cs="serif"/>
                <w:sz w:val="20"/>
                <w:szCs w:val="20"/>
              </w:rPr>
              <w:t>, pod red. J. Ostaszewskiego, Kraków 1999</w:t>
            </w:r>
          </w:p>
          <w:p w14:paraId="76BBCA21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 xml:space="preserve">Problemy kształtowania przestrzeni publicznej, </w:t>
            </w:r>
            <w:r>
              <w:rPr>
                <w:rFonts w:ascii="Arial" w:eastAsia="Arial CE" w:hAnsi="Arial"/>
                <w:sz w:val="20"/>
                <w:szCs w:val="20"/>
              </w:rPr>
              <w:t xml:space="preserve">(red.) P. Lorens, J.Martyniuk-Pęczek, Wydawnictwo Urbanista, Gdańsk 2010, http://www.arch.pg.gda.pl/pokl/skrypt%202.pdf </w:t>
            </w:r>
          </w:p>
          <w:p w14:paraId="1D464F8C" w14:textId="77777777" w:rsidR="00001626" w:rsidRDefault="003F4C3C">
            <w:pPr>
              <w:widowControl w:val="0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 xml:space="preserve">Morreale S.P., Spitzberg B.H., Barge J.K., </w:t>
            </w:r>
            <w:r>
              <w:rPr>
                <w:rFonts w:ascii="Arial" w:eastAsia="Arial CE" w:hAnsi="Arial"/>
                <w:i/>
                <w:iCs/>
                <w:sz w:val="20"/>
                <w:szCs w:val="20"/>
              </w:rPr>
              <w:t>Komunikacja między ludźmi. Motywacja, wiedza i umiejętności</w:t>
            </w:r>
            <w:r>
              <w:rPr>
                <w:rFonts w:ascii="Arial" w:eastAsia="Arial CE" w:hAnsi="Arial"/>
                <w:sz w:val="20"/>
                <w:szCs w:val="20"/>
              </w:rPr>
              <w:t>, Wydawnictwo Naukowe PWN, Warszawa 2000</w:t>
            </w:r>
          </w:p>
          <w:p w14:paraId="2D667591" w14:textId="77777777" w:rsidR="00001626" w:rsidRDefault="003F4C3C">
            <w:pPr>
              <w:widowControl w:val="0"/>
              <w:spacing w:after="0"/>
              <w:rPr>
                <w:rFonts w:ascii="Arial" w:eastAsia="Arial CE" w:hAnsi="Arial"/>
                <w:sz w:val="20"/>
                <w:szCs w:val="20"/>
              </w:rPr>
            </w:pPr>
            <w:r>
              <w:rPr>
                <w:rFonts w:ascii="Arial" w:eastAsia="Arial CE" w:hAnsi="Arial"/>
                <w:sz w:val="20"/>
                <w:szCs w:val="20"/>
              </w:rPr>
              <w:t>+pomocnicze materiały do pracy w terenie</w:t>
            </w:r>
          </w:p>
          <w:p w14:paraId="4EB90EFF" w14:textId="77777777" w:rsidR="00001626" w:rsidRDefault="003F4C3C">
            <w:pPr>
              <w:pStyle w:val="Punktygwne"/>
              <w:widowControl w:val="0"/>
              <w:spacing w:before="0" w:after="0"/>
              <w:rPr>
                <w:rFonts w:ascii="Arial" w:hAnsi="Arial" w:cs="Corbel"/>
                <w:b w:val="0"/>
                <w:smallCaps w:val="0"/>
                <w:sz w:val="20"/>
                <w:szCs w:val="20"/>
              </w:rPr>
            </w:pPr>
            <w:r>
              <w:rPr>
                <w:rFonts w:ascii="Arial" w:hAnsi="Arial" w:cs="Corbel"/>
                <w:b w:val="0"/>
                <w:smallCaps w:val="0"/>
                <w:sz w:val="20"/>
                <w:szCs w:val="20"/>
              </w:rPr>
              <w:t>+tradycyjne i multimedialne materiały pomocnicze udostępniane wedle potrzeb na platformie edukacyjnej online</w:t>
            </w:r>
          </w:p>
        </w:tc>
      </w:tr>
    </w:tbl>
    <w:p w14:paraId="7196E906" w14:textId="77777777" w:rsidR="00001626" w:rsidRDefault="0000162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76858A" w14:textId="77777777" w:rsidR="00001626" w:rsidRDefault="0000162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6EEDCA6F" w14:textId="77777777" w:rsidR="00001626" w:rsidRDefault="003F4C3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00162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42EFF" w14:textId="77777777" w:rsidR="00BB4BB8" w:rsidRDefault="00BB4BB8">
      <w:pPr>
        <w:spacing w:after="0" w:line="240" w:lineRule="auto"/>
      </w:pPr>
      <w:r>
        <w:separator/>
      </w:r>
    </w:p>
  </w:endnote>
  <w:endnote w:type="continuationSeparator" w:id="0">
    <w:p w14:paraId="40B51FFA" w14:textId="77777777" w:rsidR="00BB4BB8" w:rsidRDefault="00BB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;sans-serif">
    <w:altName w:val="Times New Roman"/>
    <w:panose1 w:val="00000000000000000000"/>
    <w:charset w:val="00"/>
    <w:family w:val="roman"/>
    <w:notTrueType/>
    <w:pitch w:val="default"/>
  </w:font>
  <w:font w:name="serif">
    <w:panose1 w:val="00000000000000000000"/>
    <w:charset w:val="00"/>
    <w:family w:val="roman"/>
    <w:notTrueType/>
    <w:pitch w:val="default"/>
  </w:font>
  <w:font w:name="sans-serif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9949F" w14:textId="77777777" w:rsidR="00BB4BB8" w:rsidRDefault="00BB4BB8">
      <w:pPr>
        <w:rPr>
          <w:sz w:val="12"/>
        </w:rPr>
      </w:pPr>
      <w:r>
        <w:separator/>
      </w:r>
    </w:p>
  </w:footnote>
  <w:footnote w:type="continuationSeparator" w:id="0">
    <w:p w14:paraId="14E2286B" w14:textId="77777777" w:rsidR="00BB4BB8" w:rsidRDefault="00BB4BB8">
      <w:pPr>
        <w:rPr>
          <w:sz w:val="12"/>
        </w:rPr>
      </w:pPr>
      <w:r>
        <w:continuationSeparator/>
      </w:r>
    </w:p>
  </w:footnote>
  <w:footnote w:id="1">
    <w:p w14:paraId="049FFACB" w14:textId="77777777" w:rsidR="00001626" w:rsidRDefault="003F4C3C">
      <w:pPr>
        <w:widowControl w:val="0"/>
        <w:rPr>
          <w:rStyle w:val="FootnoteCharacters"/>
          <w:rFonts w:ascii="Corbel" w:hAnsi="Corbel" w:cs="Corbel"/>
        </w:rPr>
      </w:pPr>
      <w:r>
        <w:rPr>
          <w:rStyle w:val="FootnoteCharacters"/>
        </w:rPr>
        <w:footnoteRef/>
      </w:r>
    </w:p>
    <w:p w14:paraId="0864EF94" w14:textId="77777777" w:rsidR="00001626" w:rsidRDefault="003F4C3C">
      <w:pPr>
        <w:pStyle w:val="Tekstprzypisudolnego"/>
        <w:widowControl w:val="0"/>
      </w:pPr>
      <w:r>
        <w:rPr>
          <w:rStyle w:val="FootnoteCharacters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C05E5"/>
    <w:multiLevelType w:val="multilevel"/>
    <w:tmpl w:val="A11AE70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AE765C7"/>
    <w:multiLevelType w:val="multilevel"/>
    <w:tmpl w:val="9E72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245475"/>
    <w:multiLevelType w:val="multilevel"/>
    <w:tmpl w:val="CD0AA6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57A682B"/>
    <w:multiLevelType w:val="multilevel"/>
    <w:tmpl w:val="07FA51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77F75B1"/>
    <w:multiLevelType w:val="multilevel"/>
    <w:tmpl w:val="D74C3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CE" w:hAnsi="Times New Roman" w:cs="Times New Roman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66576835">
    <w:abstractNumId w:val="0"/>
  </w:num>
  <w:num w:numId="2" w16cid:durableId="992490162">
    <w:abstractNumId w:val="2"/>
  </w:num>
  <w:num w:numId="3" w16cid:durableId="122506144">
    <w:abstractNumId w:val="1"/>
  </w:num>
  <w:num w:numId="4" w16cid:durableId="26637472">
    <w:abstractNumId w:val="4"/>
  </w:num>
  <w:num w:numId="5" w16cid:durableId="1464276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626"/>
    <w:rsid w:val="00001626"/>
    <w:rsid w:val="0034228E"/>
    <w:rsid w:val="003F4C3C"/>
    <w:rsid w:val="00491002"/>
    <w:rsid w:val="004C02F7"/>
    <w:rsid w:val="0051515C"/>
    <w:rsid w:val="00573DA4"/>
    <w:rsid w:val="005C0A53"/>
    <w:rsid w:val="006B0925"/>
    <w:rsid w:val="0079624B"/>
    <w:rsid w:val="007B3905"/>
    <w:rsid w:val="00857864"/>
    <w:rsid w:val="00940F7C"/>
    <w:rsid w:val="00A9784B"/>
    <w:rsid w:val="00BB4BB8"/>
    <w:rsid w:val="00D517B8"/>
    <w:rsid w:val="00D6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9541"/>
  <w15:docId w15:val="{77B504C1-A9EC-492B-94C3-46D5D6CC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TytuZnak">
    <w:name w:val="Tytuł Znak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qFormat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qFormat/>
    <w:rPr>
      <w:rFonts w:ascii="Calibri" w:hAnsi="Calibri" w:cs="Times New Roman"/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"/>
    <w:qFormat/>
  </w:style>
  <w:style w:type="character" w:styleId="Hipercze">
    <w:name w:val="Hyperlink"/>
    <w:rPr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WW8Num5z0">
    <w:name w:val="WW8Num5z0"/>
    <w:qFormat/>
  </w:style>
  <w:style w:type="character" w:customStyle="1" w:styleId="WW8Num3z0">
    <w:name w:val="WW8Num3z0"/>
    <w:qFormat/>
    <w:rPr>
      <w:rFonts w:ascii="Arial" w:eastAsia="Arial" w:hAnsi="Arial" w:cs="Arial"/>
      <w:i/>
      <w:sz w:val="2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Arial CE" w:hAnsi="Times New Roman" w:cs="Times New Roman"/>
      <w:i w:val="0"/>
      <w:iCs w:val="0"/>
      <w:sz w:val="22"/>
      <w:szCs w:val="22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;Arial" w:eastAsia="Noto Sans CJK SC" w:hAnsi="Liberation Sans;Arial" w:cs="Lohit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lang w:eastAsia="en-US" w:bidi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1577</Words>
  <Characters>9465</Characters>
  <Application>Microsoft Office Word</Application>
  <DocSecurity>0</DocSecurity>
  <Lines>78</Lines>
  <Paragraphs>22</Paragraphs>
  <ScaleCrop>false</ScaleCrop>
  <Company>Hewlett-Packard Company</Company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Paweł Balcerak</cp:lastModifiedBy>
  <cp:revision>21</cp:revision>
  <cp:lastPrinted>2019-02-06T12:12:00Z</cp:lastPrinted>
  <dcterms:created xsi:type="dcterms:W3CDTF">2023-10-02T12:20:00Z</dcterms:created>
  <dcterms:modified xsi:type="dcterms:W3CDTF">2025-06-30T10:06:00Z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